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80B" w:rsidRDefault="00000000">
      <w:pPr>
        <w:tabs>
          <w:tab w:val="right" w:pos="10560"/>
        </w:tabs>
        <w:spacing w:after="86"/>
        <w:ind w:left="-15" w:firstLine="0"/>
        <w:jc w:val="left"/>
      </w:pPr>
      <w:r>
        <w:t>Iktatószám: ki/JH01-61511/2022/MLSZ</w:t>
      </w:r>
      <w:r>
        <w:tab/>
        <w:t>BAJÁNSENYE SPORTEGYESÜLET</w:t>
      </w:r>
    </w:p>
    <w:p w:rsidR="00C0280B" w:rsidRDefault="00000000">
      <w:pPr>
        <w:tabs>
          <w:tab w:val="right" w:pos="10560"/>
        </w:tabs>
        <w:spacing w:after="86"/>
        <w:ind w:left="-15" w:firstLine="0"/>
        <w:jc w:val="left"/>
      </w:pPr>
      <w:r>
        <w:t>Ügyiratszám: be/SFP-61511/2022/MLSZ</w:t>
      </w:r>
      <w:r>
        <w:tab/>
        <w:t>Bajánsenye</w:t>
      </w:r>
    </w:p>
    <w:p w:rsidR="00C0280B" w:rsidRDefault="00000000">
      <w:pPr>
        <w:tabs>
          <w:tab w:val="right" w:pos="10560"/>
        </w:tabs>
        <w:spacing w:after="86"/>
        <w:ind w:left="-15" w:firstLine="0"/>
        <w:jc w:val="left"/>
      </w:pPr>
      <w:r>
        <w:t xml:space="preserve">Ügyintéző: Dr. </w:t>
      </w:r>
      <w:proofErr w:type="spellStart"/>
      <w:r>
        <w:t>Mucsányi</w:t>
      </w:r>
      <w:proofErr w:type="spellEnd"/>
      <w:r>
        <w:t xml:space="preserve"> Márton</w:t>
      </w:r>
      <w:r>
        <w:tab/>
        <w:t>Vörösmarty utca 13 A</w:t>
      </w:r>
    </w:p>
    <w:p w:rsidR="00C0280B" w:rsidRDefault="00000000">
      <w:pPr>
        <w:tabs>
          <w:tab w:val="right" w:pos="10560"/>
        </w:tabs>
        <w:spacing w:after="86"/>
        <w:ind w:left="-15" w:firstLine="0"/>
        <w:jc w:val="left"/>
      </w:pPr>
      <w:r>
        <w:t>E-mail: Mucsanyi.Marton@mlsz.hu</w:t>
      </w:r>
      <w:r>
        <w:tab/>
        <w:t>9944</w:t>
      </w:r>
    </w:p>
    <w:p w:rsidR="00C0280B" w:rsidRDefault="00000000">
      <w:pPr>
        <w:tabs>
          <w:tab w:val="center" w:pos="5709"/>
        </w:tabs>
        <w:spacing w:after="213"/>
        <w:ind w:left="-15" w:firstLine="0"/>
        <w:jc w:val="left"/>
      </w:pPr>
      <w:r>
        <w:t>Tárgy: sportfejlesztési program jóváhagyására irányuló kérelem jóváhagyása</w:t>
      </w:r>
      <w:r>
        <w:tab/>
        <w:t xml:space="preserve"> </w:t>
      </w:r>
    </w:p>
    <w:p w:rsidR="00C0280B" w:rsidRDefault="00000000">
      <w:pPr>
        <w:spacing w:after="301"/>
        <w:ind w:left="-5"/>
      </w:pPr>
      <w:r>
        <w:t xml:space="preserve">A Magyar Labdarúgó Szövetség (a továbbiakban: MLSZ) az általános közigazgatási rendtartásról szóló 2016. évi CL. törvény (a továbbiakban: </w:t>
      </w:r>
      <w:proofErr w:type="spellStart"/>
      <w:r>
        <w:t>Ákr</w:t>
      </w:r>
      <w:proofErr w:type="spellEnd"/>
      <w:r>
        <w:t>.) 80. §-</w:t>
      </w:r>
      <w:proofErr w:type="spellStart"/>
      <w:r>
        <w:t>ának</w:t>
      </w:r>
      <w:proofErr w:type="spellEnd"/>
      <w:r>
        <w:t xml:space="preserve"> (1) bekezdése, a sportról szóló 2004. évi I. törvény (a továbbiakban: </w:t>
      </w:r>
      <w:proofErr w:type="spellStart"/>
      <w:r>
        <w:t>Stv</w:t>
      </w:r>
      <w:proofErr w:type="spellEnd"/>
      <w:r>
        <w:t>.) 22. § (2) bekezdésének fa) pontja, a társasági adóról és az osztalékadóról szóló 1996. évi LXXXI. törvény (a továbbiakban: Tao. tv.) 22/C. §-a, valamint a látvány-csapatsport támogatását biztosító támogatási igazolás kiállításáról, felhasználásáról, a támogatás elszámolásának és ellenőrzésének, valamint visszafizetésének szabályairól szóló 107/2011 (VI.30.) Korm. rendelet (a továbbiakban: Kormányrendelet) 4. §-</w:t>
      </w:r>
      <w:proofErr w:type="spellStart"/>
      <w:r>
        <w:t>ának</w:t>
      </w:r>
      <w:proofErr w:type="spellEnd"/>
      <w:r>
        <w:t xml:space="preserve"> (5) bekezdése alapján meghozta a következő</w:t>
      </w:r>
    </w:p>
    <w:p w:rsidR="00C0280B" w:rsidRDefault="00000000">
      <w:pPr>
        <w:pStyle w:val="Cmsor1"/>
        <w:numPr>
          <w:ilvl w:val="0"/>
          <w:numId w:val="0"/>
        </w:numPr>
        <w:spacing w:after="276"/>
        <w:ind w:left="27" w:right="4"/>
      </w:pPr>
      <w:r>
        <w:t>H A T Á R O Z A T O T</w:t>
      </w:r>
    </w:p>
    <w:p w:rsidR="00C0280B" w:rsidRDefault="00000000">
      <w:pPr>
        <w:spacing w:after="301"/>
        <w:ind w:left="-5"/>
      </w:pPr>
      <w:r>
        <w:t xml:space="preserve">A támogatási igazolás kiállításának feltételét képező sportfejlesztési program jóváhagyására irányuló eljárással kapcsolatban az </w:t>
      </w:r>
      <w:proofErr w:type="spellStart"/>
      <w:r>
        <w:t>Stv</w:t>
      </w:r>
      <w:proofErr w:type="spellEnd"/>
      <w:r>
        <w:t>. 22. §-</w:t>
      </w:r>
      <w:proofErr w:type="spellStart"/>
      <w:r>
        <w:t>ának</w:t>
      </w:r>
      <w:proofErr w:type="spellEnd"/>
      <w:r>
        <w:t xml:space="preserve"> (3) bekezdésében kapott jogkörömben eljárva, a(z) BAJÁNSENYE SPORTEGYESÜLET kérelmező (székhelye: 9944 Bajánsenye Vörösmarty utca 13. </w:t>
      </w:r>
      <w:proofErr w:type="gramStart"/>
      <w:r>
        <w:t>A ,</w:t>
      </w:r>
      <w:proofErr w:type="gramEnd"/>
      <w:r>
        <w:t xml:space="preserve"> adószáma: 19893273-1-18, képviselője: Horváth Zsolt ) (a továbbiakban: Kérelmező) sportfejlesztési programjának szakmai tartalmát, illetve annak költségvetését a </w:t>
      </w:r>
      <w:proofErr w:type="spellStart"/>
      <w:r>
        <w:t>Stv</w:t>
      </w:r>
      <w:proofErr w:type="spellEnd"/>
      <w:r>
        <w:t>. 51. § (2) bekezdésének m) pontja, valamint a Kormányrendelet 4. §-</w:t>
      </w:r>
      <w:proofErr w:type="spellStart"/>
      <w:r>
        <w:t>ának</w:t>
      </w:r>
      <w:proofErr w:type="spellEnd"/>
      <w:r>
        <w:t xml:space="preserve"> (5) bekezdése, illetve a sportfejlesztési programban rendelkezésre álló információk alapján jogcímenként az alábbi összegekben</w:t>
      </w:r>
    </w:p>
    <w:p w:rsidR="00C0280B" w:rsidRDefault="00000000">
      <w:pPr>
        <w:spacing w:after="132" w:line="265" w:lineRule="auto"/>
        <w:ind w:left="27" w:right="28"/>
        <w:jc w:val="center"/>
      </w:pPr>
      <w:r>
        <w:rPr>
          <w:b/>
        </w:rPr>
        <w:t>jóváhagyom:</w:t>
      </w:r>
    </w:p>
    <w:tbl>
      <w:tblPr>
        <w:tblStyle w:val="TableGrid"/>
        <w:tblW w:w="10534" w:type="dxa"/>
        <w:tblInd w:w="10" w:type="dxa"/>
        <w:tblCellMar>
          <w:top w:w="134" w:type="dxa"/>
          <w:left w:w="6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689"/>
        <w:gridCol w:w="1467"/>
        <w:gridCol w:w="1468"/>
        <w:gridCol w:w="1467"/>
        <w:gridCol w:w="1467"/>
        <w:gridCol w:w="1508"/>
        <w:gridCol w:w="1468"/>
      </w:tblGrid>
      <w:tr w:rsidR="00C0280B">
        <w:trPr>
          <w:trHeight w:val="885"/>
        </w:trPr>
        <w:tc>
          <w:tcPr>
            <w:tcW w:w="1689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808080"/>
            </w:tcBorders>
            <w:vAlign w:val="center"/>
          </w:tcPr>
          <w:p w:rsidR="00C0280B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>Támogatás jogcíme</w:t>
            </w:r>
          </w:p>
        </w:tc>
        <w:tc>
          <w:tcPr>
            <w:tcW w:w="1468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808080"/>
            </w:tcBorders>
            <w:vAlign w:val="center"/>
          </w:tcPr>
          <w:p w:rsidR="00C0280B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Közvetlen támogatás összege</w:t>
            </w:r>
          </w:p>
        </w:tc>
        <w:tc>
          <w:tcPr>
            <w:tcW w:w="1468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808080"/>
            </w:tcBorders>
            <w:vAlign w:val="center"/>
          </w:tcPr>
          <w:p w:rsidR="00C0280B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Közreműködői díj összege</w:t>
            </w:r>
          </w:p>
        </w:tc>
        <w:tc>
          <w:tcPr>
            <w:tcW w:w="1468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808080"/>
            </w:tcBorders>
          </w:tcPr>
          <w:p w:rsidR="00C0280B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Ellenőrző szervnek fizetendő hatósági díj</w:t>
            </w:r>
          </w:p>
        </w:tc>
        <w:tc>
          <w:tcPr>
            <w:tcW w:w="1468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808080"/>
            </w:tcBorders>
            <w:vAlign w:val="center"/>
          </w:tcPr>
          <w:p w:rsidR="00C0280B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Támogatás összesen</w:t>
            </w:r>
          </w:p>
        </w:tc>
        <w:tc>
          <w:tcPr>
            <w:tcW w:w="1508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808080"/>
            </w:tcBorders>
            <w:vAlign w:val="center"/>
          </w:tcPr>
          <w:p w:rsidR="00C0280B" w:rsidRDefault="00000000">
            <w:pPr>
              <w:spacing w:after="0" w:line="259" w:lineRule="auto"/>
              <w:ind w:left="0" w:firstLine="25"/>
              <w:jc w:val="center"/>
            </w:pPr>
            <w:r>
              <w:rPr>
                <w:b/>
              </w:rPr>
              <w:t>A program megvalósításához szükséges önrész</w:t>
            </w:r>
          </w:p>
        </w:tc>
        <w:tc>
          <w:tcPr>
            <w:tcW w:w="1468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2C2C2C"/>
            </w:tcBorders>
            <w:vAlign w:val="center"/>
          </w:tcPr>
          <w:p w:rsidR="00C0280B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Elszámolandó összeg</w:t>
            </w:r>
          </w:p>
        </w:tc>
      </w:tr>
      <w:tr w:rsidR="00C0280B">
        <w:trPr>
          <w:trHeight w:val="885"/>
        </w:trPr>
        <w:tc>
          <w:tcPr>
            <w:tcW w:w="1689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808080"/>
            </w:tcBorders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t>Tárgyi eszköz beruházás, felújítás (előfinanszírozott ingatlan)</w:t>
            </w:r>
          </w:p>
        </w:tc>
        <w:tc>
          <w:tcPr>
            <w:tcW w:w="1468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808080"/>
            </w:tcBorders>
            <w:vAlign w:val="center"/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t>5 615 305 Ft</w:t>
            </w:r>
          </w:p>
        </w:tc>
        <w:tc>
          <w:tcPr>
            <w:tcW w:w="1468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808080"/>
            </w:tcBorders>
            <w:vAlign w:val="center"/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t>115 779 Ft</w:t>
            </w:r>
          </w:p>
        </w:tc>
        <w:tc>
          <w:tcPr>
            <w:tcW w:w="1468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808080"/>
            </w:tcBorders>
            <w:vAlign w:val="center"/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t>57 890 Ft</w:t>
            </w:r>
          </w:p>
        </w:tc>
        <w:tc>
          <w:tcPr>
            <w:tcW w:w="1468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808080"/>
            </w:tcBorders>
            <w:vAlign w:val="center"/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t>5 788 974 Ft</w:t>
            </w:r>
          </w:p>
        </w:tc>
        <w:tc>
          <w:tcPr>
            <w:tcW w:w="1508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808080"/>
            </w:tcBorders>
            <w:vAlign w:val="center"/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468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2C2C2C"/>
            </w:tcBorders>
            <w:vAlign w:val="center"/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t>5 731 084 Ft</w:t>
            </w:r>
          </w:p>
        </w:tc>
      </w:tr>
      <w:tr w:rsidR="00C0280B">
        <w:trPr>
          <w:trHeight w:val="312"/>
        </w:trPr>
        <w:tc>
          <w:tcPr>
            <w:tcW w:w="1689" w:type="dxa"/>
            <w:tcBorders>
              <w:top w:val="single" w:sz="4" w:space="0" w:color="2C2C2C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Összesen:</w:t>
            </w:r>
          </w:p>
        </w:tc>
        <w:tc>
          <w:tcPr>
            <w:tcW w:w="1468" w:type="dxa"/>
            <w:tcBorders>
              <w:top w:val="single" w:sz="4" w:space="0" w:color="2C2C2C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t>5 615 305 Ft</w:t>
            </w:r>
          </w:p>
        </w:tc>
        <w:tc>
          <w:tcPr>
            <w:tcW w:w="1468" w:type="dxa"/>
            <w:tcBorders>
              <w:top w:val="single" w:sz="4" w:space="0" w:color="2C2C2C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t>115 779 Ft</w:t>
            </w:r>
          </w:p>
        </w:tc>
        <w:tc>
          <w:tcPr>
            <w:tcW w:w="1468" w:type="dxa"/>
            <w:tcBorders>
              <w:top w:val="single" w:sz="4" w:space="0" w:color="2C2C2C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t>57 890 Ft</w:t>
            </w:r>
          </w:p>
        </w:tc>
        <w:tc>
          <w:tcPr>
            <w:tcW w:w="1468" w:type="dxa"/>
            <w:tcBorders>
              <w:top w:val="single" w:sz="4" w:space="0" w:color="2C2C2C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t>5 788 974 Ft</w:t>
            </w:r>
          </w:p>
        </w:tc>
        <w:tc>
          <w:tcPr>
            <w:tcW w:w="1508" w:type="dxa"/>
            <w:tcBorders>
              <w:top w:val="single" w:sz="4" w:space="0" w:color="2C2C2C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468" w:type="dxa"/>
            <w:tcBorders>
              <w:top w:val="single" w:sz="4" w:space="0" w:color="2C2C2C"/>
              <w:left w:val="single" w:sz="4" w:space="0" w:color="808080"/>
              <w:bottom w:val="single" w:sz="4" w:space="0" w:color="808080"/>
              <w:right w:val="single" w:sz="4" w:space="0" w:color="2C2C2C"/>
            </w:tcBorders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t>5 731 084 Ft</w:t>
            </w:r>
          </w:p>
        </w:tc>
      </w:tr>
    </w:tbl>
    <w:p w:rsidR="00C0280B" w:rsidRDefault="00000000">
      <w:pPr>
        <w:spacing w:after="17"/>
        <w:ind w:left="-5"/>
      </w:pPr>
      <w:r>
        <w:t>A tárgyi eszköz beruházás, felújítás jogcímhez kapcsolódó jóváhagyott tételek:</w:t>
      </w:r>
    </w:p>
    <w:tbl>
      <w:tblPr>
        <w:tblStyle w:val="TableGrid"/>
        <w:tblW w:w="10534" w:type="dxa"/>
        <w:tblInd w:w="10" w:type="dxa"/>
        <w:tblCellMar>
          <w:top w:w="134" w:type="dxa"/>
          <w:left w:w="60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3830"/>
        <w:gridCol w:w="2945"/>
        <w:gridCol w:w="1628"/>
        <w:gridCol w:w="2131"/>
      </w:tblGrid>
      <w:tr w:rsidR="00C0280B">
        <w:trPr>
          <w:trHeight w:val="503"/>
        </w:trPr>
        <w:tc>
          <w:tcPr>
            <w:tcW w:w="3830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808080"/>
            </w:tcBorders>
            <w:vAlign w:val="center"/>
          </w:tcPr>
          <w:p w:rsidR="00C0280B" w:rsidRDefault="00000000">
            <w:pPr>
              <w:spacing w:after="0" w:line="259" w:lineRule="auto"/>
              <w:ind w:left="32" w:firstLine="0"/>
              <w:jc w:val="center"/>
            </w:pPr>
            <w:r>
              <w:rPr>
                <w:b/>
              </w:rPr>
              <w:t>Megnevezés</w:t>
            </w:r>
          </w:p>
        </w:tc>
        <w:tc>
          <w:tcPr>
            <w:tcW w:w="2945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808080"/>
            </w:tcBorders>
            <w:vAlign w:val="center"/>
          </w:tcPr>
          <w:p w:rsidR="00C0280B" w:rsidRDefault="00000000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>Kategória</w:t>
            </w:r>
          </w:p>
        </w:tc>
        <w:tc>
          <w:tcPr>
            <w:tcW w:w="1628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808080"/>
            </w:tcBorders>
          </w:tcPr>
          <w:p w:rsidR="00C0280B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Jóváhagyott támogatási összeg</w:t>
            </w:r>
          </w:p>
        </w:tc>
        <w:tc>
          <w:tcPr>
            <w:tcW w:w="2131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2C2C2C"/>
            </w:tcBorders>
            <w:vAlign w:val="center"/>
          </w:tcPr>
          <w:p w:rsidR="00C0280B" w:rsidRDefault="00000000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>Megvalósítás módja</w:t>
            </w:r>
          </w:p>
        </w:tc>
      </w:tr>
      <w:tr w:rsidR="00C0280B">
        <w:trPr>
          <w:trHeight w:val="312"/>
        </w:trPr>
        <w:tc>
          <w:tcPr>
            <w:tcW w:w="3830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808080"/>
            </w:tcBorders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t>korlát/építés/felújítás/bővítés</w:t>
            </w:r>
          </w:p>
        </w:tc>
        <w:tc>
          <w:tcPr>
            <w:tcW w:w="2945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808080"/>
            </w:tcBorders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t>Biztonsági beruházás</w:t>
            </w:r>
          </w:p>
        </w:tc>
        <w:tc>
          <w:tcPr>
            <w:tcW w:w="1628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808080"/>
            </w:tcBorders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t>5 788 974 Ft</w:t>
            </w:r>
          </w:p>
        </w:tc>
        <w:tc>
          <w:tcPr>
            <w:tcW w:w="2131" w:type="dxa"/>
            <w:tcBorders>
              <w:top w:val="single" w:sz="4" w:space="0" w:color="2C2C2C"/>
              <w:left w:val="single" w:sz="4" w:space="0" w:color="808080"/>
              <w:bottom w:val="single" w:sz="4" w:space="0" w:color="2C2C2C"/>
              <w:right w:val="single" w:sz="4" w:space="0" w:color="2C2C2C"/>
            </w:tcBorders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t>Előfinanszírozott (ingatlan)</w:t>
            </w:r>
          </w:p>
        </w:tc>
      </w:tr>
      <w:tr w:rsidR="00C0280B">
        <w:trPr>
          <w:trHeight w:val="312"/>
        </w:trPr>
        <w:tc>
          <w:tcPr>
            <w:tcW w:w="3830" w:type="dxa"/>
            <w:tcBorders>
              <w:top w:val="single" w:sz="4" w:space="0" w:color="2C2C2C"/>
              <w:left w:val="single" w:sz="4" w:space="0" w:color="808080"/>
              <w:bottom w:val="single" w:sz="4" w:space="0" w:color="808080"/>
              <w:right w:val="nil"/>
            </w:tcBorders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Összesen:</w:t>
            </w:r>
          </w:p>
        </w:tc>
        <w:tc>
          <w:tcPr>
            <w:tcW w:w="2945" w:type="dxa"/>
            <w:tcBorders>
              <w:top w:val="single" w:sz="4" w:space="0" w:color="2C2C2C"/>
              <w:left w:val="nil"/>
              <w:bottom w:val="single" w:sz="4" w:space="0" w:color="808080"/>
              <w:right w:val="single" w:sz="4" w:space="0" w:color="808080"/>
            </w:tcBorders>
          </w:tcPr>
          <w:p w:rsidR="00C0280B" w:rsidRDefault="00C028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8" w:type="dxa"/>
            <w:tcBorders>
              <w:top w:val="single" w:sz="4" w:space="0" w:color="2C2C2C"/>
              <w:left w:val="single" w:sz="4" w:space="0" w:color="808080"/>
              <w:bottom w:val="single" w:sz="4" w:space="0" w:color="808080"/>
              <w:right w:val="nil"/>
            </w:tcBorders>
          </w:tcPr>
          <w:p w:rsidR="00C0280B" w:rsidRDefault="00000000">
            <w:pPr>
              <w:spacing w:after="0" w:line="259" w:lineRule="auto"/>
              <w:ind w:left="0" w:firstLine="0"/>
              <w:jc w:val="left"/>
            </w:pPr>
            <w:r>
              <w:t>5 788 974 Ft</w:t>
            </w:r>
          </w:p>
        </w:tc>
        <w:tc>
          <w:tcPr>
            <w:tcW w:w="2131" w:type="dxa"/>
            <w:tcBorders>
              <w:top w:val="single" w:sz="4" w:space="0" w:color="2C2C2C"/>
              <w:left w:val="nil"/>
              <w:bottom w:val="single" w:sz="4" w:space="0" w:color="808080"/>
              <w:right w:val="single" w:sz="4" w:space="0" w:color="2C2C2C"/>
            </w:tcBorders>
          </w:tcPr>
          <w:p w:rsidR="00C0280B" w:rsidRDefault="00C0280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0280B" w:rsidRDefault="00000000">
      <w:pPr>
        <w:spacing w:line="233" w:lineRule="auto"/>
        <w:ind w:left="0" w:firstLine="0"/>
        <w:jc w:val="left"/>
      </w:pPr>
      <w:r>
        <w:rPr>
          <w:b/>
        </w:rPr>
        <w:t>Tájékoztatom, hogy a Kormányrendelet 4. §-</w:t>
      </w:r>
      <w:proofErr w:type="spellStart"/>
      <w:r>
        <w:rPr>
          <w:b/>
        </w:rPr>
        <w:t>ának</w:t>
      </w:r>
      <w:proofErr w:type="spellEnd"/>
      <w:r>
        <w:rPr>
          <w:b/>
        </w:rPr>
        <w:t xml:space="preserve"> (11) bekezdése alapján a jelen határozatommal jóváhagyott sportfejlesztési programját, annak költségtervét és a jóváhagyott támogatás összegét a honlapján köteles közzétenni.</w:t>
      </w:r>
    </w:p>
    <w:p w:rsidR="00C0280B" w:rsidRDefault="00000000">
      <w:pPr>
        <w:ind w:left="-5"/>
      </w:pPr>
      <w:r>
        <w:t xml:space="preserve">Határozatom ellen önálló fellebbezésnek az </w:t>
      </w:r>
      <w:proofErr w:type="spellStart"/>
      <w:r>
        <w:t>Stv</w:t>
      </w:r>
      <w:proofErr w:type="spellEnd"/>
      <w:r>
        <w:t>. 22. §-</w:t>
      </w:r>
      <w:proofErr w:type="spellStart"/>
      <w:r>
        <w:t>ának</w:t>
      </w:r>
      <w:proofErr w:type="spellEnd"/>
      <w:r>
        <w:t xml:space="preserve"> (4) bekezdése, valamint az </w:t>
      </w:r>
      <w:proofErr w:type="spellStart"/>
      <w:r>
        <w:t>Ákr</w:t>
      </w:r>
      <w:proofErr w:type="spellEnd"/>
      <w:r>
        <w:t>. 116. §-</w:t>
      </w:r>
      <w:proofErr w:type="spellStart"/>
      <w:r>
        <w:t>ának</w:t>
      </w:r>
      <w:proofErr w:type="spellEnd"/>
      <w:r>
        <w:t xml:space="preserve"> (1) bekezdése alapján nincs helye. A Kérelmező a közigazgatási perrendtartásról szóló 2017. évi I. törvény (a továbbiakban: Kp.) 39. §-</w:t>
      </w:r>
      <w:proofErr w:type="spellStart"/>
      <w:r>
        <w:t>ának</w:t>
      </w:r>
      <w:proofErr w:type="spellEnd"/>
      <w:r>
        <w:t xml:space="preserve"> (1) bekezdése alapján kérheti határozatom bírósági felülvizsgálatát annak közlésétől számított harminc napon belül a Fővárosi Törvényszéktől a fenti ügyiratszámra való hivatkozással, a Fővárosi Törvényszéknek címzett, de az MLSZ-hez benyújtott keresetlevélben. Kérelmező a keresetlevelében a Kp. 77. § (2) bekezdése alapján tárgyalás tartását kérheti, ellenkező esetben amennyiben a tárgyalás tartását a bíróság nem tartja szükségesnek az ügy érdemében tárgyaláson kívül határoz. Az illetékről szóló 1990. évi XCIII. törvény (a továbbiakban: </w:t>
      </w:r>
      <w:proofErr w:type="spellStart"/>
      <w:r>
        <w:t>Itv</w:t>
      </w:r>
      <w:proofErr w:type="spellEnd"/>
      <w:r>
        <w:t xml:space="preserve">.) 45/A. § (1) bekezdése alapján az elsőfokú közigazgatási bírósági eljárás illetéke </w:t>
      </w:r>
      <w:proofErr w:type="gramStart"/>
      <w:r>
        <w:t>30.000,-</w:t>
      </w:r>
      <w:proofErr w:type="gramEnd"/>
      <w:r>
        <w:t xml:space="preserve"> Ft, ugyanezen törvény 62. § (1) bekezdésének h) pontja alapján a Kérelmezőt illetékfeljegyzési jog illeti meg.</w:t>
      </w:r>
    </w:p>
    <w:p w:rsidR="00C0280B" w:rsidRDefault="00000000">
      <w:pPr>
        <w:spacing w:after="301"/>
        <w:ind w:left="-5"/>
      </w:pPr>
      <w:r>
        <w:lastRenderedPageBreak/>
        <w:t>A Kérelmező 15 000 Ft igazgatási szolgáltatási díjat fizetett meg az MLSZ 10300002-10473718-49020341 számú fizetési számlájára. Az MLSZ-nek egyéb eljárási költség megtérítéséről nem kellett döntenie, mert az eljárás során ilyen költség nem merült fel.</w:t>
      </w:r>
    </w:p>
    <w:p w:rsidR="00C0280B" w:rsidRDefault="00000000">
      <w:pPr>
        <w:pStyle w:val="Cmsor1"/>
        <w:ind w:left="106" w:hanging="89"/>
      </w:pPr>
      <w:r>
        <w:t>N D O K O L Á S</w:t>
      </w:r>
    </w:p>
    <w:p w:rsidR="00C0280B" w:rsidRDefault="00000000">
      <w:pPr>
        <w:ind w:left="-5"/>
      </w:pPr>
      <w:r>
        <w:t>A Kormányrendelet 4. §-</w:t>
      </w:r>
      <w:proofErr w:type="spellStart"/>
      <w:r>
        <w:t>ának</w:t>
      </w:r>
      <w:proofErr w:type="spellEnd"/>
      <w:r>
        <w:t xml:space="preserve"> (1) bekezdése értelmében a támogatási igazolás kiállításának előzetes feltétele, hogy a támogatás igénybevételére jogosult szervezet a tervezett támogatással érintett sportfejlesztési programját – több évre szóló sportfejlesztési program esetén évekre lebontva –, annak tervezett megvalósítását megelőzően a jóváhagyást végző szervezet részére jóváhagyás céljából benyújtsa.</w:t>
      </w:r>
    </w:p>
    <w:p w:rsidR="00C0280B" w:rsidRDefault="00000000">
      <w:pPr>
        <w:ind w:left="-5"/>
      </w:pPr>
      <w:r>
        <w:t>A Kérelmező a programját a Kormányrendelet 4. §-</w:t>
      </w:r>
      <w:proofErr w:type="spellStart"/>
      <w:r>
        <w:t>ának</w:t>
      </w:r>
      <w:proofErr w:type="spellEnd"/>
      <w:r>
        <w:t xml:space="preserve"> (1) bekezdésében meghatározott határidőig - 2022.02.28. napján - benyújtotta. A közigazgatási hatósági eljárás 2022.03.01. napján indult meg. Mivel eljárásom során megállapítottam, hogy a benyújtott sportfejlesztési program megfelel a Kormányrendelet 4. §-</w:t>
      </w:r>
      <w:proofErr w:type="spellStart"/>
      <w:r>
        <w:t>ának</w:t>
      </w:r>
      <w:proofErr w:type="spellEnd"/>
      <w:r>
        <w:t xml:space="preserve"> (3) bekezdésben meghatározott vizsgálati szempontoknak, ezért a Kérelmező sportfejlesztési programjának szakmai tartalmát– a 2022/2023-as támogatási időszak tekintetében – az MLSZ Elnöksége által elfogadott értékelési elvekben foglaltak figyelembevételével, a rendelkező részben foglaltak szerint hagytam jóvá.</w:t>
      </w:r>
    </w:p>
    <w:p w:rsidR="00C0280B" w:rsidRDefault="00000000">
      <w:pPr>
        <w:spacing w:after="362"/>
        <w:ind w:left="-5"/>
      </w:pPr>
      <w:r>
        <w:t xml:space="preserve">A benyújtott sportfejlesztési program költségtervének tárgyi eszköz jogcímen jóváhagyott projektelemek támogatási összege a megyei igényeknek megfelelő és az MLSZ stratégiai célkitűzéseinek megvalósítását ténylegesen elősegítő fejlesztések </w:t>
      </w:r>
      <w:proofErr w:type="gramStart"/>
      <w:r>
        <w:t>figyelembe vételével</w:t>
      </w:r>
      <w:proofErr w:type="gramEnd"/>
      <w:r>
        <w:t xml:space="preserve"> egyedi elbírálás alapján, szakmai véleményezés után került a rendelkező részben feltüntetett összegben elfogadásra.</w:t>
      </w:r>
    </w:p>
    <w:p w:rsidR="00C0280B" w:rsidRDefault="00000000">
      <w:pPr>
        <w:spacing w:after="332"/>
        <w:ind w:left="-5"/>
      </w:pPr>
      <w:r>
        <w:t>A Kérelmező által benyújtott sportfejlesztési program előfinanszírozott ingatlan beruházás, felújítás jogcímmel kapcsolatban a következő megállapításokat teszem:</w:t>
      </w:r>
    </w:p>
    <w:p w:rsidR="00C0280B" w:rsidRDefault="00000000">
      <w:pPr>
        <w:spacing w:after="17"/>
        <w:ind w:left="261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5531" cy="146801"/>
                <wp:effectExtent l="0" t="0" r="0" b="0"/>
                <wp:docPr id="5001" name="Group 5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31" cy="146801"/>
                          <a:chOff x="0" y="0"/>
                          <a:chExt cx="25531" cy="146801"/>
                        </a:xfrm>
                      </wpg:grpSpPr>
                      <wps:wsp>
                        <wps:cNvPr id="527" name="Shape 527"/>
                        <wps:cNvSpPr/>
                        <wps:spPr>
                          <a:xfrm>
                            <a:off x="0" y="0"/>
                            <a:ext cx="25531" cy="2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1" h="25531">
                                <a:moveTo>
                                  <a:pt x="12765" y="0"/>
                                </a:moveTo>
                                <a:cubicBezTo>
                                  <a:pt x="19815" y="0"/>
                                  <a:pt x="25531" y="5715"/>
                                  <a:pt x="25531" y="12766"/>
                                </a:cubicBezTo>
                                <a:cubicBezTo>
                                  <a:pt x="25531" y="19816"/>
                                  <a:pt x="19815" y="25531"/>
                                  <a:pt x="12765" y="25531"/>
                                </a:cubicBezTo>
                                <a:cubicBezTo>
                                  <a:pt x="5715" y="25531"/>
                                  <a:pt x="0" y="19816"/>
                                  <a:pt x="0" y="12766"/>
                                </a:cubicBezTo>
                                <a:cubicBezTo>
                                  <a:pt x="0" y="5715"/>
                                  <a:pt x="5715" y="0"/>
                                  <a:pt x="12765" y="0"/>
                                </a:cubicBezTo>
                                <a:close/>
                              </a:path>
                            </a:pathLst>
                          </a:custGeom>
                          <a:ln w="6383" cap="sq">
                            <a:miter lim="127000"/>
                          </a:ln>
                        </wps:spPr>
                        <wps:style>
                          <a:lnRef idx="1">
                            <a:srgbClr val="414141"/>
                          </a:lnRef>
                          <a:fillRef idx="1">
                            <a:srgbClr val="4141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121270"/>
                            <a:ext cx="25531" cy="2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1" h="25531">
                                <a:moveTo>
                                  <a:pt x="12765" y="0"/>
                                </a:moveTo>
                                <a:cubicBezTo>
                                  <a:pt x="19815" y="0"/>
                                  <a:pt x="25531" y="5715"/>
                                  <a:pt x="25531" y="12766"/>
                                </a:cubicBezTo>
                                <a:cubicBezTo>
                                  <a:pt x="25531" y="19816"/>
                                  <a:pt x="19815" y="25531"/>
                                  <a:pt x="12765" y="25531"/>
                                </a:cubicBezTo>
                                <a:cubicBezTo>
                                  <a:pt x="5715" y="25531"/>
                                  <a:pt x="0" y="19816"/>
                                  <a:pt x="0" y="12766"/>
                                </a:cubicBezTo>
                                <a:cubicBezTo>
                                  <a:pt x="0" y="5715"/>
                                  <a:pt x="5715" y="0"/>
                                  <a:pt x="12765" y="0"/>
                                </a:cubicBezTo>
                                <a:close/>
                              </a:path>
                            </a:pathLst>
                          </a:custGeom>
                          <a:ln w="6383" cap="sq">
                            <a:miter lim="127000"/>
                          </a:ln>
                        </wps:spPr>
                        <wps:style>
                          <a:lnRef idx="1">
                            <a:srgbClr val="414141"/>
                          </a:lnRef>
                          <a:fillRef idx="1">
                            <a:srgbClr val="4141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01" style="width:2.01028pt;height:11.5591pt;mso-position-horizontal-relative:char;mso-position-vertical-relative:line" coordsize="255,1468">
                <v:shape id="Shape 527" style="position:absolute;width:255;height:255;left:0;top:0;" coordsize="25531,25531" path="m12765,0c19815,0,25531,5715,25531,12766c25531,19816,19815,25531,12765,25531c5715,25531,0,19816,0,12766c0,5715,5715,0,12765,0x">
                  <v:stroke weight="0.50257pt" endcap="square" joinstyle="miter" miterlimit="10" on="true" color="#414141"/>
                  <v:fill on="true" color="#414141"/>
                </v:shape>
                <v:shape id="Shape 529" style="position:absolute;width:255;height:255;left:0;top:1212;" coordsize="25531,25531" path="m12765,0c19815,0,25531,5715,25531,12766c25531,19816,19815,25531,12765,25531c5715,25531,0,19816,0,12766c0,5715,5715,0,12765,0x">
                  <v:stroke weight="0.50257pt" endcap="square" joinstyle="miter" miterlimit="10" on="true" color="#414141"/>
                  <v:fill on="true" color="#414141"/>
                </v:shape>
              </v:group>
            </w:pict>
          </mc:Fallback>
        </mc:AlternateContent>
      </w:r>
      <w:r>
        <w:t xml:space="preserve"> A(z) lelátó építése megnevezésű projektelem megvalósítását az MLSZ hatósági jogkörében eljárva nem támogatja;</w:t>
      </w:r>
    </w:p>
    <w:p w:rsidR="00C0280B" w:rsidRDefault="00000000">
      <w:pPr>
        <w:spacing w:after="257"/>
        <w:ind w:left="261"/>
      </w:pPr>
      <w:r>
        <w:t>A(z) Egyéb épület építése megnevezésű projektelem megvalósítását az MLSZ hatósági jogkörében eljárva nem támogatja;</w:t>
      </w:r>
    </w:p>
    <w:p w:rsidR="00C0280B" w:rsidRDefault="00000000">
      <w:pPr>
        <w:ind w:left="-5"/>
      </w:pPr>
      <w:r>
        <w:t xml:space="preserve">ezért figyelemmel a Tao. tv. 22/C. § (4) bekezdésének c) pontjában meghatározott 100%-os támogatási intenzitásra – a Kérelmező sportfejlesztési programjának előfinanszírozott ingatlan beruházás, felújítás jogcím alá betervezett költségét </w:t>
      </w:r>
      <w:r>
        <w:rPr>
          <w:b/>
        </w:rPr>
        <w:t>3 766 794 Ft</w:t>
      </w:r>
      <w:r>
        <w:t xml:space="preserve"> támogatási összeggel </w:t>
      </w:r>
      <w:r>
        <w:rPr>
          <w:b/>
        </w:rPr>
        <w:t xml:space="preserve">5 788 974 Ft </w:t>
      </w:r>
      <w:r>
        <w:t>összegre csökkentettem.</w:t>
      </w:r>
    </w:p>
    <w:p w:rsidR="00C0280B" w:rsidRDefault="00000000">
      <w:pPr>
        <w:ind w:left="-5"/>
      </w:pPr>
      <w:r>
        <w:t>Tájékoztatom, hogy a Kormányrendelet 10. §-</w:t>
      </w:r>
      <w:proofErr w:type="spellStart"/>
      <w:r>
        <w:t>ának</w:t>
      </w:r>
      <w:proofErr w:type="spellEnd"/>
      <w:r>
        <w:t xml:space="preserve"> (2) bekezdése alapján - vagy amennyiben a jóváhagyott támogatás költségelemek közötti arányos felhasználására vonatkozó fenti előírás az eredetileg megvalósítani kívánt utánpótlás-nevelési feladatok megvalósítását veszélyeztetné vagy meghiúsítaná, akkor a Kormányrendelet 10. §-</w:t>
      </w:r>
      <w:proofErr w:type="spellStart"/>
      <w:r>
        <w:t>ának</w:t>
      </w:r>
      <w:proofErr w:type="spellEnd"/>
      <w:r>
        <w:t xml:space="preserve"> (4) bekezdése alapján - a Kérelmező kérelmezheti a jóváhagyott sportfejlesztési programjának módosítását.</w:t>
      </w:r>
    </w:p>
    <w:p w:rsidR="00C0280B" w:rsidRDefault="00000000">
      <w:pPr>
        <w:ind w:left="-5"/>
      </w:pPr>
      <w:r>
        <w:t>Az eljárás során megállapítottam, hogy a Kérelmező által benyújtott sportfejlesztési program szakmai tartalma összhangban van az MLSZ labdarúgás stratégiai fejlesztési koncepciójával és értékelési elveivel.</w:t>
      </w:r>
    </w:p>
    <w:p w:rsidR="00C0280B" w:rsidRDefault="00000000">
      <w:pPr>
        <w:ind w:left="-5"/>
      </w:pPr>
      <w:r>
        <w:t>A sportfejlesztési program jóváhagyására irányuló kérelme elbírálásához kapcsolódóan a látvány-csapatsportok támogatásával összefüggő sportfejlesztési program jóváhagyására és a támogatási igazolás kiadására irányuló hatósági eljárásban fizetendő igazgatási szolgáltatási díjról szóló 39/2011. (VI. 30.) NEFMI rendelet 1. § a) pontja és a 2. § alapján a Kérelmezőnek 15 000 Ft igazgatási szolgáltatási díj fizetési kötelezettsége keletkezett, amelyet a rendelkező részben foglaltakkal összhangban teljesített. Az MLSZ-nek egyéb eljárási költség megtérítéséről nem kellett döntenie, mert az eljárás során ilyen költség nem merült fel.</w:t>
      </w:r>
    </w:p>
    <w:p w:rsidR="00C0280B" w:rsidRDefault="00000000">
      <w:pPr>
        <w:ind w:left="-5"/>
      </w:pPr>
      <w:r>
        <w:t>A fentieken túl felhívom a Kérelmező figyelmét arra, hogy a jelen határozatban jóváhagyott támogatási összeg felhasználásának a Kormányrendeletben foglaltak, az MLSZ honlapján megtalálható, az MLSZ Elnöksége által elfogadott értékelési elveivel, valamint Elszámolási Szabályzatban foglaltakkal összhangban kell történnie.</w:t>
      </w:r>
    </w:p>
    <w:p w:rsidR="00C0280B" w:rsidRDefault="00000000">
      <w:pPr>
        <w:ind w:left="-5"/>
      </w:pPr>
      <w:r>
        <w:t xml:space="preserve">A jogorvoslati tájékoztató az </w:t>
      </w:r>
      <w:proofErr w:type="spellStart"/>
      <w:r>
        <w:t>Ákr</w:t>
      </w:r>
      <w:proofErr w:type="spellEnd"/>
      <w:r>
        <w:t xml:space="preserve">. 114. § (1) bekezdésén, a közigazgatási perrendtartásról szóló 2017. évi I. törvény 29. § (1) bekezdésén, 39. § (1) és (2) bekezdésén, 77. § (1) és (2) bekezdésén, a polgári perrendtartásról szóló 2016. évi CXXX. törvény 608. § (1) bekezdésén, az elektronikus ügyintézés és a bizalmi szolgáltatások általános szabályairól 2015. évi CCXXII. törvény 9. § (1) bekezdés </w:t>
      </w:r>
      <w:proofErr w:type="spellStart"/>
      <w:r>
        <w:t>aa</w:t>
      </w:r>
      <w:proofErr w:type="spellEnd"/>
      <w:r>
        <w:t>) és b) pontján alapul.</w:t>
      </w:r>
    </w:p>
    <w:p w:rsidR="00C0280B" w:rsidRDefault="00000000">
      <w:pPr>
        <w:ind w:left="-5"/>
      </w:pPr>
      <w:r>
        <w:t xml:space="preserve">Hatáskörömet és illetékességemet az </w:t>
      </w:r>
      <w:proofErr w:type="spellStart"/>
      <w:r>
        <w:t>Stv</w:t>
      </w:r>
      <w:proofErr w:type="spellEnd"/>
      <w:r>
        <w:t>. 22. §-</w:t>
      </w:r>
      <w:proofErr w:type="spellStart"/>
      <w:r>
        <w:t>ának</w:t>
      </w:r>
      <w:proofErr w:type="spellEnd"/>
      <w:r>
        <w:t xml:space="preserve"> (2) bekezdés fa) pontja, valamint a Kormányrendelet 2. §-</w:t>
      </w:r>
      <w:proofErr w:type="spellStart"/>
      <w:r>
        <w:t>ának</w:t>
      </w:r>
      <w:proofErr w:type="spellEnd"/>
      <w:r>
        <w:t xml:space="preserve"> (1) bekezdés 2. pontja határozza meg.</w:t>
      </w:r>
    </w:p>
    <w:p w:rsidR="00C0280B" w:rsidRDefault="00000000">
      <w:pPr>
        <w:spacing w:after="298"/>
        <w:ind w:left="-5"/>
      </w:pPr>
      <w:r>
        <w:t>Döntésemet a hivatkozott jogszabályhelyek alapján hoztam meg.</w:t>
      </w:r>
    </w:p>
    <w:p w:rsidR="00C0280B" w:rsidRDefault="00000000">
      <w:pPr>
        <w:spacing w:after="187"/>
        <w:ind w:left="-5"/>
      </w:pPr>
      <w:r>
        <w:t>Budapest, 2022.11.04.</w:t>
      </w:r>
    </w:p>
    <w:p w:rsidR="00C0280B" w:rsidRDefault="00000000">
      <w:pPr>
        <w:spacing w:after="0" w:line="259" w:lineRule="auto"/>
        <w:ind w:left="0" w:right="1531" w:firstLine="0"/>
        <w:jc w:val="right"/>
      </w:pPr>
      <w:r>
        <w:rPr>
          <w:b/>
        </w:rPr>
        <w:t>dr. Vági Márton</w:t>
      </w:r>
    </w:p>
    <w:p w:rsidR="00C0280B" w:rsidRDefault="00000000">
      <w:pPr>
        <w:spacing w:after="0" w:line="259" w:lineRule="auto"/>
        <w:ind w:left="30" w:firstLine="0"/>
        <w:jc w:val="left"/>
      </w:pPr>
      <w:r>
        <w:t xml:space="preserve"> </w:t>
      </w:r>
    </w:p>
    <w:p w:rsidR="00C0280B" w:rsidRDefault="00000000">
      <w:pPr>
        <w:spacing w:after="328"/>
        <w:ind w:left="8182"/>
      </w:pPr>
      <w:r>
        <w:t>Főtitkár</w:t>
      </w:r>
    </w:p>
    <w:p w:rsidR="00C0280B" w:rsidRDefault="00000000">
      <w:pPr>
        <w:ind w:left="-5"/>
      </w:pPr>
      <w:r>
        <w:t>A határozatot kapják:</w:t>
      </w:r>
    </w:p>
    <w:p w:rsidR="00C0280B" w:rsidRDefault="00000000">
      <w:pPr>
        <w:numPr>
          <w:ilvl w:val="0"/>
          <w:numId w:val="1"/>
        </w:numPr>
        <w:spacing w:after="17"/>
        <w:ind w:hanging="179"/>
      </w:pPr>
      <w:r>
        <w:lastRenderedPageBreak/>
        <w:t>BAJÁNSENYE SPORTEGYESÜLET</w:t>
      </w:r>
    </w:p>
    <w:p w:rsidR="00C0280B" w:rsidRDefault="00000000">
      <w:pPr>
        <w:numPr>
          <w:ilvl w:val="0"/>
          <w:numId w:val="1"/>
        </w:numPr>
        <w:spacing w:after="17"/>
        <w:ind w:hanging="179"/>
      </w:pPr>
      <w:r>
        <w:t>Irattár</w:t>
      </w:r>
    </w:p>
    <w:sectPr w:rsidR="00C02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13" w:right="669" w:bottom="2697" w:left="671" w:header="97" w:footer="3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05C1" w:rsidRDefault="003C05C1">
      <w:pPr>
        <w:spacing w:after="0" w:line="240" w:lineRule="auto"/>
      </w:pPr>
      <w:r>
        <w:separator/>
      </w:r>
    </w:p>
  </w:endnote>
  <w:endnote w:type="continuationSeparator" w:id="0">
    <w:p w:rsidR="003C05C1" w:rsidRDefault="003C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80B" w:rsidRDefault="00000000">
    <w:pPr>
      <w:spacing w:after="0" w:line="259" w:lineRule="auto"/>
      <w:ind w:left="0" w:right="12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361950</wp:posOffset>
          </wp:positionH>
          <wp:positionV relativeFrom="page">
            <wp:posOffset>9542296</wp:posOffset>
          </wp:positionV>
          <wp:extent cx="6829425" cy="937522"/>
          <wp:effectExtent l="0" t="0" r="0" b="0"/>
          <wp:wrapSquare wrapText="bothSides"/>
          <wp:docPr id="365" name="Picture 3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" name="Picture 3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425" cy="937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2"/>
      </w:rPr>
      <w:t>1</w:t>
    </w:r>
    <w:r>
      <w:rPr>
        <w:color w:val="000000"/>
        <w:sz w:val="12"/>
      </w:rPr>
      <w:fldChar w:fldCharType="end"/>
    </w:r>
    <w:r>
      <w:rPr>
        <w:color w:val="000000"/>
        <w:sz w:val="12"/>
      </w:rPr>
      <w:t xml:space="preserve"> / </w:t>
    </w:r>
    <w:fldSimple w:instr=" NUMPAGES   \* MERGEFORMAT ">
      <w:r>
        <w:rPr>
          <w:color w:val="000000"/>
          <w:sz w:val="12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80B" w:rsidRDefault="00000000">
    <w:pPr>
      <w:spacing w:after="0" w:line="259" w:lineRule="auto"/>
      <w:ind w:left="0" w:right="12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361950</wp:posOffset>
          </wp:positionH>
          <wp:positionV relativeFrom="page">
            <wp:posOffset>9542296</wp:posOffset>
          </wp:positionV>
          <wp:extent cx="6829425" cy="937522"/>
          <wp:effectExtent l="0" t="0" r="0" b="0"/>
          <wp:wrapSquare wrapText="bothSides"/>
          <wp:docPr id="3" name="Picture 3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" name="Picture 3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425" cy="937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2"/>
      </w:rPr>
      <w:t>1</w:t>
    </w:r>
    <w:r>
      <w:rPr>
        <w:color w:val="000000"/>
        <w:sz w:val="12"/>
      </w:rPr>
      <w:fldChar w:fldCharType="end"/>
    </w:r>
    <w:r>
      <w:rPr>
        <w:color w:val="000000"/>
        <w:sz w:val="12"/>
      </w:rPr>
      <w:t xml:space="preserve"> / </w:t>
    </w:r>
    <w:fldSimple w:instr=" NUMPAGES   \* MERGEFORMAT ">
      <w:r>
        <w:rPr>
          <w:color w:val="000000"/>
          <w:sz w:val="12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80B" w:rsidRDefault="00000000">
    <w:pPr>
      <w:spacing w:after="0" w:line="259" w:lineRule="auto"/>
      <w:ind w:left="0" w:right="12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361950</wp:posOffset>
          </wp:positionH>
          <wp:positionV relativeFrom="page">
            <wp:posOffset>9542296</wp:posOffset>
          </wp:positionV>
          <wp:extent cx="6829425" cy="937522"/>
          <wp:effectExtent l="0" t="0" r="0" b="0"/>
          <wp:wrapSquare wrapText="bothSides"/>
          <wp:docPr id="4" name="Picture 3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" name="Picture 3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425" cy="937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2"/>
      </w:rPr>
      <w:t>1</w:t>
    </w:r>
    <w:r>
      <w:rPr>
        <w:color w:val="000000"/>
        <w:sz w:val="12"/>
      </w:rPr>
      <w:fldChar w:fldCharType="end"/>
    </w:r>
    <w:r>
      <w:rPr>
        <w:color w:val="000000"/>
        <w:sz w:val="12"/>
      </w:rPr>
      <w:t xml:space="preserve"> / </w:t>
    </w:r>
    <w:fldSimple w:instr=" NUMPAGES   \* MERGEFORMAT ">
      <w:r>
        <w:rPr>
          <w:color w:val="000000"/>
          <w:sz w:val="12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05C1" w:rsidRDefault="003C05C1">
      <w:pPr>
        <w:spacing w:after="0" w:line="240" w:lineRule="auto"/>
      </w:pPr>
      <w:r>
        <w:separator/>
      </w:r>
    </w:p>
  </w:footnote>
  <w:footnote w:type="continuationSeparator" w:id="0">
    <w:p w:rsidR="003C05C1" w:rsidRDefault="003C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80B" w:rsidRDefault="00000000">
    <w:pPr>
      <w:spacing w:after="0" w:line="259" w:lineRule="auto"/>
      <w:ind w:left="-671" w:right="11231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361950</wp:posOffset>
          </wp:positionH>
          <wp:positionV relativeFrom="page">
            <wp:posOffset>61332</wp:posOffset>
          </wp:positionV>
          <wp:extent cx="6829425" cy="1326250"/>
          <wp:effectExtent l="0" t="0" r="0" b="0"/>
          <wp:wrapSquare wrapText="bothSides"/>
          <wp:docPr id="359" name="Picture 3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" name="Picture 3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425" cy="132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80B" w:rsidRDefault="00000000">
    <w:pPr>
      <w:spacing w:after="0" w:line="259" w:lineRule="auto"/>
      <w:ind w:left="-671" w:right="11231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361950</wp:posOffset>
          </wp:positionH>
          <wp:positionV relativeFrom="page">
            <wp:posOffset>61332</wp:posOffset>
          </wp:positionV>
          <wp:extent cx="6829425" cy="1326250"/>
          <wp:effectExtent l="0" t="0" r="0" b="0"/>
          <wp:wrapSquare wrapText="bothSides"/>
          <wp:docPr id="1" name="Picture 3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" name="Picture 3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425" cy="132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80B" w:rsidRDefault="00000000">
    <w:pPr>
      <w:spacing w:after="0" w:line="259" w:lineRule="auto"/>
      <w:ind w:left="-671" w:right="11231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361950</wp:posOffset>
          </wp:positionH>
          <wp:positionV relativeFrom="page">
            <wp:posOffset>61332</wp:posOffset>
          </wp:positionV>
          <wp:extent cx="6829425" cy="1326250"/>
          <wp:effectExtent l="0" t="0" r="0" b="0"/>
          <wp:wrapSquare wrapText="bothSides"/>
          <wp:docPr id="2" name="Picture 3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" name="Picture 3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425" cy="132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7C7F"/>
    <w:multiLevelType w:val="hybridMultilevel"/>
    <w:tmpl w:val="B92EAE46"/>
    <w:lvl w:ilvl="0" w:tplc="5C300EEE">
      <w:start w:val="1"/>
      <w:numFmt w:val="upperRoman"/>
      <w:pStyle w:val="Cmsor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4141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062310">
      <w:start w:val="1"/>
      <w:numFmt w:val="lowerLetter"/>
      <w:lvlText w:val="%2"/>
      <w:lvlJc w:val="left"/>
      <w:pPr>
        <w:ind w:left="5709"/>
      </w:pPr>
      <w:rPr>
        <w:rFonts w:ascii="Calibri" w:eastAsia="Calibri" w:hAnsi="Calibri" w:cs="Calibri"/>
        <w:b/>
        <w:bCs/>
        <w:i w:val="0"/>
        <w:strike w:val="0"/>
        <w:dstrike w:val="0"/>
        <w:color w:val="4141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F2B83A">
      <w:start w:val="1"/>
      <w:numFmt w:val="lowerRoman"/>
      <w:lvlText w:val="%3"/>
      <w:lvlJc w:val="left"/>
      <w:pPr>
        <w:ind w:left="6429"/>
      </w:pPr>
      <w:rPr>
        <w:rFonts w:ascii="Calibri" w:eastAsia="Calibri" w:hAnsi="Calibri" w:cs="Calibri"/>
        <w:b/>
        <w:bCs/>
        <w:i w:val="0"/>
        <w:strike w:val="0"/>
        <w:dstrike w:val="0"/>
        <w:color w:val="4141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F9AC5B6">
      <w:start w:val="1"/>
      <w:numFmt w:val="decimal"/>
      <w:lvlText w:val="%4"/>
      <w:lvlJc w:val="left"/>
      <w:pPr>
        <w:ind w:left="7149"/>
      </w:pPr>
      <w:rPr>
        <w:rFonts w:ascii="Calibri" w:eastAsia="Calibri" w:hAnsi="Calibri" w:cs="Calibri"/>
        <w:b/>
        <w:bCs/>
        <w:i w:val="0"/>
        <w:strike w:val="0"/>
        <w:dstrike w:val="0"/>
        <w:color w:val="4141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A28326E">
      <w:start w:val="1"/>
      <w:numFmt w:val="lowerLetter"/>
      <w:lvlText w:val="%5"/>
      <w:lvlJc w:val="left"/>
      <w:pPr>
        <w:ind w:left="7869"/>
      </w:pPr>
      <w:rPr>
        <w:rFonts w:ascii="Calibri" w:eastAsia="Calibri" w:hAnsi="Calibri" w:cs="Calibri"/>
        <w:b/>
        <w:bCs/>
        <w:i w:val="0"/>
        <w:strike w:val="0"/>
        <w:dstrike w:val="0"/>
        <w:color w:val="4141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4C831E">
      <w:start w:val="1"/>
      <w:numFmt w:val="lowerRoman"/>
      <w:lvlText w:val="%6"/>
      <w:lvlJc w:val="left"/>
      <w:pPr>
        <w:ind w:left="8589"/>
      </w:pPr>
      <w:rPr>
        <w:rFonts w:ascii="Calibri" w:eastAsia="Calibri" w:hAnsi="Calibri" w:cs="Calibri"/>
        <w:b/>
        <w:bCs/>
        <w:i w:val="0"/>
        <w:strike w:val="0"/>
        <w:dstrike w:val="0"/>
        <w:color w:val="4141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1C9FF6">
      <w:start w:val="1"/>
      <w:numFmt w:val="decimal"/>
      <w:lvlText w:val="%7"/>
      <w:lvlJc w:val="left"/>
      <w:pPr>
        <w:ind w:left="9309"/>
      </w:pPr>
      <w:rPr>
        <w:rFonts w:ascii="Calibri" w:eastAsia="Calibri" w:hAnsi="Calibri" w:cs="Calibri"/>
        <w:b/>
        <w:bCs/>
        <w:i w:val="0"/>
        <w:strike w:val="0"/>
        <w:dstrike w:val="0"/>
        <w:color w:val="4141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264B0C">
      <w:start w:val="1"/>
      <w:numFmt w:val="lowerLetter"/>
      <w:lvlText w:val="%8"/>
      <w:lvlJc w:val="left"/>
      <w:pPr>
        <w:ind w:left="10029"/>
      </w:pPr>
      <w:rPr>
        <w:rFonts w:ascii="Calibri" w:eastAsia="Calibri" w:hAnsi="Calibri" w:cs="Calibri"/>
        <w:b/>
        <w:bCs/>
        <w:i w:val="0"/>
        <w:strike w:val="0"/>
        <w:dstrike w:val="0"/>
        <w:color w:val="4141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F23658">
      <w:start w:val="1"/>
      <w:numFmt w:val="lowerRoman"/>
      <w:lvlText w:val="%9"/>
      <w:lvlJc w:val="left"/>
      <w:pPr>
        <w:ind w:left="10749"/>
      </w:pPr>
      <w:rPr>
        <w:rFonts w:ascii="Calibri" w:eastAsia="Calibri" w:hAnsi="Calibri" w:cs="Calibri"/>
        <w:b/>
        <w:bCs/>
        <w:i w:val="0"/>
        <w:strike w:val="0"/>
        <w:dstrike w:val="0"/>
        <w:color w:val="4141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91315B"/>
    <w:multiLevelType w:val="hybridMultilevel"/>
    <w:tmpl w:val="3D7654C6"/>
    <w:lvl w:ilvl="0" w:tplc="93B86A98">
      <w:start w:val="1"/>
      <w:numFmt w:val="decimal"/>
      <w:lvlText w:val="%1."/>
      <w:lvlJc w:val="left"/>
      <w:pPr>
        <w:ind w:left="179"/>
      </w:pPr>
      <w:rPr>
        <w:rFonts w:ascii="Calibri" w:eastAsia="Calibri" w:hAnsi="Calibri" w:cs="Calibri"/>
        <w:b w:val="0"/>
        <w:i w:val="0"/>
        <w:strike w:val="0"/>
        <w:dstrike w:val="0"/>
        <w:color w:val="4141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F026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141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2AE38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141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763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141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D010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141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32EC2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141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E28E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141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D65F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141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6CA5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141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3241435">
    <w:abstractNumId w:val="1"/>
  </w:num>
  <w:num w:numId="2" w16cid:durableId="34112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0B"/>
    <w:rsid w:val="003C05C1"/>
    <w:rsid w:val="005749EB"/>
    <w:rsid w:val="00C0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DE024-A2F8-4A95-B986-E71AD852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1" w:line="234" w:lineRule="auto"/>
      <w:ind w:left="10" w:hanging="10"/>
      <w:jc w:val="both"/>
    </w:pPr>
    <w:rPr>
      <w:rFonts w:ascii="Calibri" w:eastAsia="Calibri" w:hAnsi="Calibri" w:cs="Calibri"/>
      <w:color w:val="414141"/>
      <w:sz w:val="16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numPr>
        <w:numId w:val="2"/>
      </w:numPr>
      <w:spacing w:after="132" w:line="265" w:lineRule="auto"/>
      <w:ind w:left="24" w:hanging="10"/>
      <w:jc w:val="center"/>
      <w:outlineLvl w:val="0"/>
    </w:pPr>
    <w:rPr>
      <w:rFonts w:ascii="Calibri" w:eastAsia="Calibri" w:hAnsi="Calibri" w:cs="Calibri"/>
      <w:b/>
      <w:color w:val="414141"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414141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toth.juditbs@outlook.hu</dc:creator>
  <cp:keywords/>
  <cp:lastModifiedBy>toth.juditbs@outlook.hu</cp:lastModifiedBy>
  <cp:revision>2</cp:revision>
  <dcterms:created xsi:type="dcterms:W3CDTF">2022-11-09T08:53:00Z</dcterms:created>
  <dcterms:modified xsi:type="dcterms:W3CDTF">2022-11-09T08:53:00Z</dcterms:modified>
</cp:coreProperties>
</file>